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4D3" w:rsidRPr="007B7F85" w:rsidRDefault="00B474D3" w:rsidP="00B474D3">
      <w:pPr>
        <w:pStyle w:val="Standard"/>
        <w:jc w:val="center"/>
        <w:rPr>
          <w:rFonts w:asciiTheme="minorHAnsi" w:hAnsiTheme="minorHAnsi"/>
          <w:sz w:val="28"/>
          <w:szCs w:val="28"/>
        </w:rPr>
      </w:pPr>
      <w:r w:rsidRPr="007B7F85">
        <w:rPr>
          <w:rFonts w:asciiTheme="minorHAnsi" w:hAnsiTheme="minorHAnsi"/>
          <w:noProof/>
          <w:sz w:val="28"/>
          <w:szCs w:val="28"/>
        </w:rPr>
        <w:drawing>
          <wp:inline distT="0" distB="0" distL="0" distR="0">
            <wp:extent cx="676894" cy="629392"/>
            <wp:effectExtent l="19050" t="0" r="8906" b="0"/>
            <wp:docPr id="1" name="γραφικά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lum/>
                      <a:alphaModFix/>
                    </a:blip>
                    <a:srcRect/>
                    <a:stretch>
                      <a:fillRect/>
                    </a:stretch>
                  </pic:blipFill>
                  <pic:spPr>
                    <a:xfrm>
                      <a:off x="0" y="0"/>
                      <a:ext cx="680836" cy="633057"/>
                    </a:xfrm>
                    <a:prstGeom prst="rect">
                      <a:avLst/>
                    </a:prstGeom>
                    <a:ln>
                      <a:noFill/>
                      <a:prstDash/>
                    </a:ln>
                  </pic:spPr>
                </pic:pic>
              </a:graphicData>
            </a:graphic>
          </wp:inline>
        </w:drawing>
      </w:r>
    </w:p>
    <w:p w:rsidR="00B474D3" w:rsidRPr="00987EB9" w:rsidRDefault="00B474D3" w:rsidP="00B474D3">
      <w:pPr>
        <w:pStyle w:val="Standard"/>
        <w:spacing w:after="0" w:line="240" w:lineRule="auto"/>
        <w:jc w:val="center"/>
        <w:rPr>
          <w:rFonts w:asciiTheme="minorHAnsi" w:hAnsiTheme="minorHAnsi"/>
          <w:sz w:val="26"/>
          <w:szCs w:val="26"/>
        </w:rPr>
      </w:pPr>
      <w:r w:rsidRPr="00987EB9">
        <w:rPr>
          <w:rFonts w:asciiTheme="minorHAnsi" w:hAnsiTheme="minorHAnsi"/>
          <w:b/>
          <w:sz w:val="26"/>
          <w:szCs w:val="26"/>
        </w:rPr>
        <w:t>ΠΑΝΕΠΙΣΤΗΜΙΟ  ΠΕΛΟΠΟΝΝΗΣΟΥ</w:t>
      </w:r>
    </w:p>
    <w:p w:rsidR="00B474D3" w:rsidRPr="00987EB9" w:rsidRDefault="00B474D3" w:rsidP="00B474D3">
      <w:pPr>
        <w:pStyle w:val="Standard"/>
        <w:spacing w:after="0" w:line="240" w:lineRule="auto"/>
        <w:jc w:val="center"/>
        <w:rPr>
          <w:rFonts w:asciiTheme="minorHAnsi" w:hAnsiTheme="minorHAnsi"/>
          <w:sz w:val="26"/>
          <w:szCs w:val="26"/>
        </w:rPr>
      </w:pPr>
      <w:r w:rsidRPr="00987EB9">
        <w:rPr>
          <w:rFonts w:asciiTheme="minorHAnsi" w:hAnsiTheme="minorHAnsi"/>
          <w:b/>
          <w:sz w:val="26"/>
          <w:szCs w:val="26"/>
        </w:rPr>
        <w:t>ΣΧΟΛΗ ΚΑΛΩΝ ΤΕΧΝΩΝ</w:t>
      </w:r>
    </w:p>
    <w:p w:rsidR="00B474D3" w:rsidRPr="00987EB9" w:rsidRDefault="00B474D3" w:rsidP="00B474D3">
      <w:pPr>
        <w:pStyle w:val="Standard"/>
        <w:spacing w:after="0" w:line="240" w:lineRule="auto"/>
        <w:jc w:val="center"/>
        <w:rPr>
          <w:rFonts w:asciiTheme="minorHAnsi" w:hAnsiTheme="minorHAnsi"/>
          <w:sz w:val="26"/>
          <w:szCs w:val="26"/>
        </w:rPr>
      </w:pPr>
      <w:r w:rsidRPr="00987EB9">
        <w:rPr>
          <w:rFonts w:asciiTheme="minorHAnsi" w:hAnsiTheme="minorHAnsi"/>
          <w:b/>
          <w:sz w:val="26"/>
          <w:szCs w:val="26"/>
        </w:rPr>
        <w:t>ΤΜΗΜΑ ΘΕΑΤΡΙΚΩΝ ΣΠΟΥΔΩΝ</w:t>
      </w:r>
    </w:p>
    <w:p w:rsidR="00B474D3" w:rsidRPr="00987EB9" w:rsidRDefault="00B474D3" w:rsidP="00B474D3">
      <w:pPr>
        <w:pStyle w:val="Standard"/>
        <w:spacing w:after="0" w:line="240" w:lineRule="auto"/>
        <w:jc w:val="center"/>
        <w:rPr>
          <w:rFonts w:asciiTheme="minorHAnsi" w:hAnsiTheme="minorHAnsi"/>
          <w:sz w:val="26"/>
          <w:szCs w:val="26"/>
        </w:rPr>
      </w:pPr>
      <w:r w:rsidRPr="00987EB9">
        <w:rPr>
          <w:rFonts w:asciiTheme="minorHAnsi" w:hAnsiTheme="minorHAnsi"/>
          <w:b/>
          <w:sz w:val="26"/>
          <w:szCs w:val="26"/>
        </w:rPr>
        <w:t>ΠΡΟΓΡΑΜΜΑ ΜΕΤΑΠΤΥΧΙΑΚΩΝ ΣΠΟΥΔΩΝ</w:t>
      </w:r>
    </w:p>
    <w:p w:rsidR="00B474D3" w:rsidRPr="00987EB9" w:rsidRDefault="00B474D3" w:rsidP="00B474D3">
      <w:pPr>
        <w:pStyle w:val="Standard"/>
        <w:spacing w:after="0" w:line="240" w:lineRule="auto"/>
        <w:jc w:val="center"/>
        <w:rPr>
          <w:rFonts w:asciiTheme="minorHAnsi" w:hAnsiTheme="minorHAnsi"/>
          <w:b/>
          <w:sz w:val="26"/>
          <w:szCs w:val="26"/>
        </w:rPr>
      </w:pPr>
      <w:r w:rsidRPr="00987EB9">
        <w:rPr>
          <w:rFonts w:asciiTheme="minorHAnsi" w:hAnsiTheme="minorHAnsi"/>
          <w:b/>
          <w:sz w:val="26"/>
          <w:szCs w:val="26"/>
        </w:rPr>
        <w:t>«Δραματική Τέχνη και Παραστατικές Τέχνες στην Εκπαίδευση και Δια Βίου Μάθηση – (ΠΜΣ – ΔΡΑ.ΤΕ.Π.Τ.Ε.)</w:t>
      </w:r>
    </w:p>
    <w:p w:rsidR="00B474D3" w:rsidRPr="007B7F85" w:rsidRDefault="00B474D3" w:rsidP="00B474D3">
      <w:pPr>
        <w:jc w:val="right"/>
        <w:rPr>
          <w:sz w:val="24"/>
          <w:szCs w:val="24"/>
        </w:rPr>
      </w:pPr>
    </w:p>
    <w:p w:rsidR="00B474D3" w:rsidRPr="00987EB9" w:rsidRDefault="00B474D3" w:rsidP="00B474D3">
      <w:pPr>
        <w:spacing w:line="240" w:lineRule="auto"/>
        <w:jc w:val="center"/>
        <w:rPr>
          <w:rFonts w:cs="Arial"/>
          <w:b/>
          <w:sz w:val="28"/>
          <w:szCs w:val="28"/>
        </w:rPr>
      </w:pPr>
      <w:r w:rsidRPr="00987EB9">
        <w:rPr>
          <w:rFonts w:cs="Arial"/>
          <w:b/>
          <w:sz w:val="28"/>
          <w:szCs w:val="28"/>
        </w:rPr>
        <w:t>Δελτίο Τύπου</w:t>
      </w:r>
    </w:p>
    <w:p w:rsidR="00987EB9" w:rsidRPr="00987EB9" w:rsidRDefault="00987EB9" w:rsidP="00B474D3">
      <w:pPr>
        <w:spacing w:after="0"/>
        <w:jc w:val="center"/>
        <w:rPr>
          <w:rFonts w:eastAsia="Times New Roman" w:cs="Arial"/>
          <w:b/>
          <w:bCs/>
          <w:sz w:val="28"/>
          <w:szCs w:val="28"/>
        </w:rPr>
      </w:pPr>
    </w:p>
    <w:p w:rsidR="00B474D3" w:rsidRPr="00987EB9" w:rsidRDefault="00B474D3" w:rsidP="00B474D3">
      <w:pPr>
        <w:spacing w:after="0"/>
        <w:jc w:val="center"/>
        <w:rPr>
          <w:rFonts w:eastAsia="Times New Roman" w:cs="Arial"/>
          <w:b/>
          <w:bCs/>
          <w:sz w:val="28"/>
          <w:szCs w:val="28"/>
        </w:rPr>
      </w:pPr>
      <w:r w:rsidRPr="00987EB9">
        <w:rPr>
          <w:rFonts w:eastAsia="Times New Roman" w:cs="Arial"/>
          <w:b/>
          <w:bCs/>
          <w:sz w:val="28"/>
          <w:szCs w:val="28"/>
        </w:rPr>
        <w:t xml:space="preserve">  </w:t>
      </w:r>
      <w:r w:rsidR="00D41884">
        <w:rPr>
          <w:rFonts w:eastAsia="Times New Roman" w:cs="Arial"/>
          <w:b/>
          <w:bCs/>
          <w:sz w:val="28"/>
          <w:szCs w:val="28"/>
        </w:rPr>
        <w:t>ΤΡΙΤΗ</w:t>
      </w:r>
      <w:r w:rsidRPr="00987EB9">
        <w:rPr>
          <w:rFonts w:eastAsia="Times New Roman" w:cs="Arial"/>
          <w:b/>
          <w:bCs/>
          <w:sz w:val="28"/>
          <w:szCs w:val="28"/>
        </w:rPr>
        <w:t xml:space="preserve"> </w:t>
      </w:r>
      <w:r w:rsidR="00D41884">
        <w:rPr>
          <w:rFonts w:eastAsia="Times New Roman" w:cs="Arial"/>
          <w:b/>
          <w:bCs/>
          <w:sz w:val="28"/>
          <w:szCs w:val="28"/>
        </w:rPr>
        <w:t>3 ΦΕΒΡΟΥΑΡΙΟΥ</w:t>
      </w:r>
      <w:r w:rsidRPr="00987EB9">
        <w:rPr>
          <w:rFonts w:eastAsia="Times New Roman" w:cs="Arial"/>
          <w:b/>
          <w:bCs/>
          <w:sz w:val="28"/>
          <w:szCs w:val="28"/>
        </w:rPr>
        <w:t xml:space="preserve"> 2015, 9.00 π.μ.</w:t>
      </w:r>
    </w:p>
    <w:p w:rsidR="00B474D3" w:rsidRDefault="00D41884" w:rsidP="00B474D3">
      <w:pPr>
        <w:spacing w:after="0" w:line="240" w:lineRule="auto"/>
        <w:jc w:val="center"/>
        <w:rPr>
          <w:rFonts w:eastAsia="Times New Roman" w:cs="Arial"/>
          <w:b/>
          <w:bCs/>
          <w:sz w:val="28"/>
          <w:szCs w:val="28"/>
        </w:rPr>
      </w:pPr>
      <w:r>
        <w:rPr>
          <w:rFonts w:eastAsia="Times New Roman" w:cs="Arial"/>
          <w:b/>
          <w:bCs/>
          <w:sz w:val="28"/>
          <w:szCs w:val="28"/>
        </w:rPr>
        <w:t>ΑΡΧΑΙΟΛΟΓΙΚΟ ΜΟΥΣΕΙΟ ΝΑΥΠΛΙΟ</w:t>
      </w:r>
      <w:r w:rsidR="000C14DA">
        <w:rPr>
          <w:rFonts w:eastAsia="Times New Roman" w:cs="Arial"/>
          <w:b/>
          <w:bCs/>
          <w:sz w:val="28"/>
          <w:szCs w:val="28"/>
        </w:rPr>
        <w:t>Υ</w:t>
      </w:r>
    </w:p>
    <w:p w:rsidR="00D41884" w:rsidRPr="007B7F85" w:rsidRDefault="00D41884" w:rsidP="00B474D3">
      <w:pPr>
        <w:spacing w:after="0" w:line="240" w:lineRule="auto"/>
        <w:jc w:val="center"/>
        <w:rPr>
          <w:rFonts w:eastAsia="Times New Roman" w:cs="Arial"/>
          <w:sz w:val="28"/>
          <w:szCs w:val="28"/>
        </w:rPr>
      </w:pPr>
    </w:p>
    <w:p w:rsidR="00B474D3" w:rsidRPr="00987EB9" w:rsidRDefault="00B474D3" w:rsidP="00B474D3">
      <w:pPr>
        <w:ind w:firstLine="720"/>
        <w:jc w:val="both"/>
        <w:rPr>
          <w:rFonts w:eastAsia="Arial Unicode MS" w:cs="Arial Unicode MS"/>
          <w:sz w:val="26"/>
          <w:szCs w:val="26"/>
        </w:rPr>
      </w:pPr>
      <w:r w:rsidRPr="00987EB9">
        <w:rPr>
          <w:rFonts w:eastAsia="Arial Unicode MS" w:cs="Arial Unicode MS"/>
          <w:sz w:val="26"/>
          <w:szCs w:val="26"/>
          <w:lang w:val="en-US"/>
        </w:rPr>
        <w:t>To</w:t>
      </w:r>
      <w:r w:rsidRPr="00987EB9">
        <w:rPr>
          <w:rFonts w:eastAsia="Arial Unicode MS" w:cs="Arial Unicode MS"/>
          <w:sz w:val="26"/>
          <w:szCs w:val="26"/>
        </w:rPr>
        <w:t xml:space="preserve"> Πρόγραμμα Μεταπτυχιακών Σπουδών «Δραματική Τέχνη και Παραστατικές Τέχνες στην Εκπαίδευση και Δια Βίου Μάθηση – (ΠΜΣ – ΔΡΑ.ΤΕ.Π.Τ.Ε.) σε συνεργασία με το 1</w:t>
      </w:r>
      <w:r w:rsidRPr="00987EB9">
        <w:rPr>
          <w:rFonts w:eastAsia="Arial Unicode MS" w:cs="Arial Unicode MS"/>
          <w:sz w:val="26"/>
          <w:szCs w:val="26"/>
          <w:vertAlign w:val="superscript"/>
        </w:rPr>
        <w:t>ο</w:t>
      </w:r>
      <w:r w:rsidRPr="00987EB9">
        <w:rPr>
          <w:rFonts w:eastAsia="Arial Unicode MS" w:cs="Arial Unicode MS"/>
          <w:sz w:val="26"/>
          <w:szCs w:val="26"/>
        </w:rPr>
        <w:t xml:space="preserve"> Γενικό</w:t>
      </w:r>
      <w:r w:rsidR="00D41884">
        <w:rPr>
          <w:rFonts w:eastAsia="Arial Unicode MS" w:cs="Arial Unicode MS"/>
          <w:sz w:val="26"/>
          <w:szCs w:val="26"/>
        </w:rPr>
        <w:t xml:space="preserve"> Λύκειο Ναυπλίου πραγματοποιούν </w:t>
      </w:r>
      <w:proofErr w:type="spellStart"/>
      <w:r w:rsidR="00D41884">
        <w:rPr>
          <w:rFonts w:eastAsia="Arial Unicode MS" w:cs="Arial Unicode MS"/>
          <w:sz w:val="26"/>
          <w:szCs w:val="26"/>
        </w:rPr>
        <w:t>Μουσειοπαιδαγωγικό</w:t>
      </w:r>
      <w:proofErr w:type="spellEnd"/>
      <w:r w:rsidRPr="00987EB9">
        <w:rPr>
          <w:rFonts w:eastAsia="Arial Unicode MS" w:cs="Arial Unicode MS"/>
          <w:sz w:val="26"/>
          <w:szCs w:val="26"/>
        </w:rPr>
        <w:t xml:space="preserve"> Πρόγραμμα </w:t>
      </w:r>
      <w:r w:rsidR="008B66BA">
        <w:rPr>
          <w:rFonts w:eastAsia="Arial Unicode MS" w:cs="Arial Unicode MS"/>
          <w:sz w:val="26"/>
          <w:szCs w:val="26"/>
        </w:rPr>
        <w:t>στο Αρχαιολογικό Μουσείο Ναυπλίου</w:t>
      </w:r>
      <w:r w:rsidRPr="00987EB9">
        <w:rPr>
          <w:rFonts w:eastAsia="Arial Unicode MS" w:cs="Arial Unicode MS"/>
          <w:sz w:val="26"/>
          <w:szCs w:val="26"/>
        </w:rPr>
        <w:t xml:space="preserve">. </w:t>
      </w:r>
    </w:p>
    <w:p w:rsidR="00D41884" w:rsidRDefault="00D41884" w:rsidP="00B474D3">
      <w:pPr>
        <w:ind w:firstLine="720"/>
        <w:jc w:val="both"/>
        <w:rPr>
          <w:rFonts w:cs="Arial"/>
          <w:sz w:val="26"/>
          <w:szCs w:val="26"/>
        </w:rPr>
      </w:pPr>
      <w:r>
        <w:rPr>
          <w:rFonts w:cs="Arial"/>
          <w:sz w:val="26"/>
          <w:szCs w:val="26"/>
        </w:rPr>
        <w:t xml:space="preserve">Πρόκειται για μια εκπαιδευτική περιήγηση στα μυκηναϊκά εκθέματα του Μουσείου μέσω των Δραματικών Τεχνικών και των αρχών της </w:t>
      </w:r>
      <w:proofErr w:type="spellStart"/>
      <w:r w:rsidR="008B66BA">
        <w:rPr>
          <w:rFonts w:cs="Arial"/>
          <w:sz w:val="26"/>
          <w:szCs w:val="26"/>
        </w:rPr>
        <w:t>Μ</w:t>
      </w:r>
      <w:r>
        <w:rPr>
          <w:rFonts w:cs="Arial"/>
          <w:sz w:val="26"/>
          <w:szCs w:val="26"/>
        </w:rPr>
        <w:t>ουσειοπαιδαγωγικής</w:t>
      </w:r>
      <w:proofErr w:type="spellEnd"/>
      <w:r>
        <w:rPr>
          <w:rFonts w:cs="Arial"/>
          <w:sz w:val="26"/>
          <w:szCs w:val="26"/>
        </w:rPr>
        <w:t xml:space="preserve">. </w:t>
      </w:r>
    </w:p>
    <w:p w:rsidR="00D41884" w:rsidRDefault="00D41884" w:rsidP="00B474D3">
      <w:pPr>
        <w:ind w:firstLine="720"/>
        <w:jc w:val="both"/>
        <w:rPr>
          <w:rFonts w:cs="Arial"/>
          <w:sz w:val="24"/>
          <w:szCs w:val="24"/>
        </w:rPr>
      </w:pPr>
      <w:r w:rsidRPr="00D41884">
        <w:rPr>
          <w:rFonts w:cs="Arial"/>
          <w:sz w:val="24"/>
          <w:szCs w:val="24"/>
        </w:rPr>
        <w:t xml:space="preserve">Σ΄ έναν κόσμο που τυποποιείται και ψηφιοποιείται με τεράστια ταχύτητα, σ’ έναν κόσμο στα πλαίσια του οποίου τα πάντα αξιολογούνται με κριτήριο την εικόνα και το </w:t>
      </w:r>
      <w:proofErr w:type="spellStart"/>
      <w:r w:rsidRPr="00D41884">
        <w:rPr>
          <w:rFonts w:cs="Arial"/>
          <w:sz w:val="24"/>
          <w:szCs w:val="24"/>
        </w:rPr>
        <w:t>φαίνεσθαι</w:t>
      </w:r>
      <w:proofErr w:type="spellEnd"/>
      <w:r w:rsidRPr="00D41884">
        <w:rPr>
          <w:rFonts w:cs="Arial"/>
          <w:sz w:val="24"/>
          <w:szCs w:val="24"/>
        </w:rPr>
        <w:t xml:space="preserve"> και όχι το είναι, σ’ έναν κόσμο δομημένο με βάση τον ορθολογισμό και τον αυστηρό προγραμματισμό που επιβάλλουν την εντατικοποίηση σε όλους τους τομείς της ανθρώπινης ζωής, ανακαλύπτουμε καθημεριν</w:t>
      </w:r>
      <w:r w:rsidR="002E4B35">
        <w:rPr>
          <w:rFonts w:cs="Arial"/>
          <w:sz w:val="24"/>
          <w:szCs w:val="24"/>
        </w:rPr>
        <w:t xml:space="preserve">ά την ανάγκη </w:t>
      </w:r>
      <w:r w:rsidRPr="00D41884">
        <w:rPr>
          <w:rFonts w:cs="Arial"/>
          <w:sz w:val="24"/>
          <w:szCs w:val="24"/>
        </w:rPr>
        <w:t>να συμβάλουμε στη δημιουργική επανασύνδεση παρελθόντος – παρόντος στον χώρο του σχολείου μέσα από μια διαφορετική προσέγγιση των μουσείων. Συνειδητοποιούμε την ανάγκη να προσεγγίσουμε το παρελθόν όχι σαν κάτι νεκρό και ξένο από εμάς, αλλά σαν ένα ζωντανό τεκμήριο της ανθρώπινης δημιουργικότητας που αποδεικνύει τόσο την εξέλιξη του ανθρώπινου πνεύματος στην πορεία των αιώνων, όσο και την ενότητα των πολιτισμών και των ανθρώπων.</w:t>
      </w:r>
    </w:p>
    <w:p w:rsidR="00D41884" w:rsidRPr="008B66BA" w:rsidRDefault="00D41884" w:rsidP="00B474D3">
      <w:pPr>
        <w:ind w:firstLine="720"/>
        <w:jc w:val="both"/>
        <w:rPr>
          <w:rFonts w:cs="Arial"/>
          <w:sz w:val="24"/>
          <w:szCs w:val="24"/>
        </w:rPr>
      </w:pPr>
      <w:r w:rsidRPr="008B66BA">
        <w:rPr>
          <w:rFonts w:cs="Arial"/>
          <w:sz w:val="24"/>
          <w:szCs w:val="24"/>
        </w:rPr>
        <w:t>Βο</w:t>
      </w:r>
      <w:r w:rsidR="002E4B35">
        <w:rPr>
          <w:rFonts w:cs="Arial"/>
          <w:sz w:val="24"/>
          <w:szCs w:val="24"/>
        </w:rPr>
        <w:t>ηθώντας τους μαθητές</w:t>
      </w:r>
      <w:r w:rsidRPr="008B66BA">
        <w:rPr>
          <w:rFonts w:cs="Arial"/>
          <w:sz w:val="24"/>
          <w:szCs w:val="24"/>
        </w:rPr>
        <w:t xml:space="preserve"> να αντιληφθούν αυτή την αδιάσπαστη συνέχεια στην εξέλιξη και την ενότητα των ανθρώπινων πολιτισμών, οδηγώντας τους να διακρίνουν το μεγαλείο του </w:t>
      </w:r>
      <w:r w:rsidRPr="008B66BA">
        <w:rPr>
          <w:rFonts w:cs="Arial"/>
          <w:sz w:val="24"/>
          <w:szCs w:val="24"/>
        </w:rPr>
        <w:lastRenderedPageBreak/>
        <w:t>ανθρώπινου πνεύματος και να βιώσουν τη μαγεία της ανθρώπινης ιστορίας, τους καθιστούμε κοινωνούς και συνεχιστές αυτού του αξιοθαύμαστου έργου.</w:t>
      </w:r>
    </w:p>
    <w:p w:rsidR="00D41884" w:rsidRDefault="00D41884" w:rsidP="00B474D3">
      <w:pPr>
        <w:ind w:firstLine="720"/>
        <w:jc w:val="both"/>
        <w:rPr>
          <w:rFonts w:cs="Arial"/>
          <w:sz w:val="24"/>
          <w:szCs w:val="24"/>
        </w:rPr>
      </w:pPr>
      <w:r w:rsidRPr="008B66BA">
        <w:rPr>
          <w:rFonts w:cs="Arial"/>
          <w:sz w:val="24"/>
          <w:szCs w:val="24"/>
        </w:rPr>
        <w:t>Μέσα από μια πιο δυναμική, και ευφάνταστη προσέγγιση των μουσείων, η οποία δε</w:t>
      </w:r>
      <w:r w:rsidR="002E4B35">
        <w:rPr>
          <w:rFonts w:cs="Arial"/>
          <w:sz w:val="24"/>
          <w:szCs w:val="24"/>
        </w:rPr>
        <w:t>ν</w:t>
      </w:r>
      <w:r w:rsidRPr="008B66BA">
        <w:rPr>
          <w:rFonts w:cs="Arial"/>
          <w:sz w:val="24"/>
          <w:szCs w:val="24"/>
        </w:rPr>
        <w:t xml:space="preserve"> θα χαρακτηρίζεται από την επιφανειακή παρατήρηση και τη συσσώρευση ιστορικών πληροφοριών, αλλά θα κινητοποιεί τη φαντασία και την περιέργεια του παιδιού και θα τροφοδοτεί το συναισθηματικό του κόσμο με ένα πλήθος από έντονα και ευχάριστα συναισθήματα, </w:t>
      </w:r>
      <w:r w:rsidR="008B66BA" w:rsidRPr="008B66BA">
        <w:rPr>
          <w:rFonts w:cs="Arial"/>
          <w:sz w:val="24"/>
          <w:szCs w:val="24"/>
        </w:rPr>
        <w:t xml:space="preserve">επιδιώκουμε να </w:t>
      </w:r>
      <w:r w:rsidRPr="008B66BA">
        <w:rPr>
          <w:rFonts w:cs="Arial"/>
          <w:sz w:val="24"/>
          <w:szCs w:val="24"/>
        </w:rPr>
        <w:t xml:space="preserve">συμβάλουμε στο να λειτουργήσουν τα μουσεία σαν χώροι εξερεύνησης και συναρπαστικών ανακαλύψεων για </w:t>
      </w:r>
      <w:r w:rsidR="008B66BA" w:rsidRPr="008B66BA">
        <w:rPr>
          <w:rFonts w:cs="Arial"/>
          <w:sz w:val="24"/>
          <w:szCs w:val="24"/>
        </w:rPr>
        <w:t xml:space="preserve">τους </w:t>
      </w:r>
      <w:r w:rsidR="002E4B35">
        <w:rPr>
          <w:rFonts w:cs="Arial"/>
          <w:sz w:val="24"/>
          <w:szCs w:val="24"/>
        </w:rPr>
        <w:t>μαθητές</w:t>
      </w:r>
      <w:bookmarkStart w:id="0" w:name="_GoBack"/>
      <w:bookmarkEnd w:id="0"/>
      <w:r w:rsidR="008B66BA" w:rsidRPr="008B66BA">
        <w:rPr>
          <w:rFonts w:cs="Arial"/>
          <w:sz w:val="24"/>
          <w:szCs w:val="24"/>
        </w:rPr>
        <w:t>.</w:t>
      </w:r>
    </w:p>
    <w:p w:rsidR="008B66BA" w:rsidRDefault="008B66BA" w:rsidP="00B474D3">
      <w:pPr>
        <w:ind w:firstLine="720"/>
        <w:jc w:val="both"/>
        <w:rPr>
          <w:rFonts w:cs="Arial"/>
          <w:sz w:val="24"/>
          <w:szCs w:val="24"/>
        </w:rPr>
      </w:pPr>
      <w:r>
        <w:rPr>
          <w:rFonts w:cs="Arial"/>
          <w:sz w:val="24"/>
          <w:szCs w:val="24"/>
        </w:rPr>
        <w:t>Την Τρίτη 3 Φεβρουαρίου 2015 τα μυκηναϊκά εκθέματα του Αρχαιολογικού Μουσείου του Ναυπλίου «ζωντανεύουν» και οι μαθητές του 1</w:t>
      </w:r>
      <w:r w:rsidRPr="008B66BA">
        <w:rPr>
          <w:rFonts w:cs="Arial"/>
          <w:sz w:val="24"/>
          <w:szCs w:val="24"/>
          <w:vertAlign w:val="superscript"/>
        </w:rPr>
        <w:t>ου</w:t>
      </w:r>
      <w:r>
        <w:rPr>
          <w:rFonts w:cs="Arial"/>
          <w:sz w:val="24"/>
          <w:szCs w:val="24"/>
        </w:rPr>
        <w:t xml:space="preserve"> Λυκείου Ναυπλίου</w:t>
      </w:r>
      <w:r w:rsidR="00087D0C">
        <w:rPr>
          <w:rFonts w:cs="Arial"/>
          <w:sz w:val="24"/>
          <w:szCs w:val="24"/>
        </w:rPr>
        <w:t>,</w:t>
      </w:r>
      <w:r>
        <w:rPr>
          <w:rFonts w:cs="Arial"/>
          <w:sz w:val="24"/>
          <w:szCs w:val="24"/>
        </w:rPr>
        <w:t xml:space="preserve"> </w:t>
      </w:r>
      <w:r w:rsidR="00087D0C">
        <w:rPr>
          <w:rFonts w:cs="Arial"/>
          <w:sz w:val="24"/>
          <w:szCs w:val="24"/>
        </w:rPr>
        <w:t xml:space="preserve">με τη βοήθεια της δημιουργικής τους φαντασίας και των δραματικών τεχνικών, </w:t>
      </w:r>
      <w:r>
        <w:rPr>
          <w:rFonts w:cs="Arial"/>
          <w:sz w:val="24"/>
          <w:szCs w:val="24"/>
        </w:rPr>
        <w:t xml:space="preserve">ταξιδεύουν </w:t>
      </w:r>
      <w:r w:rsidR="00087D0C">
        <w:rPr>
          <w:rFonts w:cs="Arial"/>
          <w:sz w:val="24"/>
          <w:szCs w:val="24"/>
        </w:rPr>
        <w:t xml:space="preserve">μαζί τους </w:t>
      </w:r>
      <w:r>
        <w:rPr>
          <w:rFonts w:cs="Arial"/>
          <w:sz w:val="24"/>
          <w:szCs w:val="24"/>
        </w:rPr>
        <w:t xml:space="preserve"> σε μια συναρπαστική εποχή…</w:t>
      </w:r>
    </w:p>
    <w:p w:rsidR="00B474D3" w:rsidRPr="00987EB9" w:rsidRDefault="00B474D3" w:rsidP="00B474D3">
      <w:pPr>
        <w:ind w:firstLine="720"/>
        <w:jc w:val="both"/>
        <w:rPr>
          <w:rFonts w:eastAsia="Arial Unicode MS" w:cs="Arial Unicode MS"/>
          <w:sz w:val="26"/>
          <w:szCs w:val="26"/>
        </w:rPr>
      </w:pPr>
      <w:r w:rsidRPr="00987EB9">
        <w:rPr>
          <w:rFonts w:eastAsia="Arial Unicode MS" w:cs="Arial Unicode MS"/>
          <w:sz w:val="26"/>
          <w:szCs w:val="26"/>
        </w:rPr>
        <w:t xml:space="preserve">Την εμψύχωση θα πραγματοποιήσουν οι μεταπτυχιακές φοιτήτριες  Ε. </w:t>
      </w:r>
      <w:proofErr w:type="spellStart"/>
      <w:r w:rsidRPr="00987EB9">
        <w:rPr>
          <w:rFonts w:eastAsia="Arial Unicode MS" w:cs="Arial Unicode MS"/>
          <w:sz w:val="26"/>
          <w:szCs w:val="26"/>
        </w:rPr>
        <w:t>Γιαγκιόζη</w:t>
      </w:r>
      <w:proofErr w:type="spellEnd"/>
      <w:r w:rsidRPr="00987EB9">
        <w:rPr>
          <w:rFonts w:eastAsia="Arial Unicode MS" w:cs="Arial Unicode MS"/>
          <w:sz w:val="26"/>
          <w:szCs w:val="26"/>
        </w:rPr>
        <w:t xml:space="preserve"> και Σ. Στενού. </w:t>
      </w:r>
    </w:p>
    <w:p w:rsidR="00987EB9" w:rsidRDefault="00987EB9" w:rsidP="00B474D3">
      <w:pPr>
        <w:ind w:firstLine="720"/>
        <w:jc w:val="both"/>
        <w:rPr>
          <w:rFonts w:eastAsia="Arial Unicode MS" w:cs="Arial Unicode MS"/>
          <w:sz w:val="24"/>
          <w:szCs w:val="24"/>
        </w:rPr>
      </w:pPr>
    </w:p>
    <w:p w:rsidR="00B474D3" w:rsidRDefault="00B474D3" w:rsidP="00B474D3">
      <w:pPr>
        <w:ind w:firstLine="720"/>
        <w:jc w:val="both"/>
        <w:rPr>
          <w:rFonts w:eastAsia="Arial Unicode MS" w:cs="Arial Unicode MS"/>
          <w:sz w:val="28"/>
          <w:szCs w:val="28"/>
        </w:rPr>
      </w:pPr>
    </w:p>
    <w:p w:rsidR="00B474D3" w:rsidRPr="00987EB9" w:rsidRDefault="00B474D3" w:rsidP="00B474D3">
      <w:pPr>
        <w:spacing w:after="0"/>
        <w:jc w:val="center"/>
        <w:rPr>
          <w:rFonts w:eastAsia="Times New Roman" w:cs="Arial"/>
          <w:sz w:val="28"/>
          <w:szCs w:val="28"/>
        </w:rPr>
      </w:pPr>
      <w:proofErr w:type="gramStart"/>
      <w:r w:rsidRPr="00987EB9">
        <w:rPr>
          <w:rFonts w:eastAsia="Times New Roman" w:cs="Arial"/>
          <w:sz w:val="28"/>
          <w:szCs w:val="28"/>
          <w:lang w:val="en-US"/>
        </w:rPr>
        <w:t>H</w:t>
      </w:r>
      <w:r w:rsidRPr="00987EB9">
        <w:rPr>
          <w:rFonts w:eastAsia="Times New Roman" w:cs="Arial"/>
          <w:sz w:val="28"/>
          <w:szCs w:val="28"/>
        </w:rPr>
        <w:t xml:space="preserve">  Διευθύντρια</w:t>
      </w:r>
      <w:proofErr w:type="gramEnd"/>
      <w:r w:rsidRPr="00987EB9">
        <w:rPr>
          <w:rFonts w:eastAsia="Times New Roman" w:cs="Arial"/>
          <w:sz w:val="28"/>
          <w:szCs w:val="28"/>
        </w:rPr>
        <w:t xml:space="preserve">  του</w:t>
      </w:r>
    </w:p>
    <w:p w:rsidR="00B474D3" w:rsidRPr="00987EB9" w:rsidRDefault="00B474D3" w:rsidP="00B474D3">
      <w:pPr>
        <w:spacing w:after="0"/>
        <w:jc w:val="center"/>
        <w:rPr>
          <w:rFonts w:eastAsia="Times New Roman" w:cs="Arial"/>
          <w:sz w:val="28"/>
          <w:szCs w:val="28"/>
        </w:rPr>
      </w:pPr>
      <w:r w:rsidRPr="00987EB9">
        <w:rPr>
          <w:rFonts w:eastAsia="Times New Roman" w:cs="Arial"/>
          <w:sz w:val="28"/>
          <w:szCs w:val="28"/>
        </w:rPr>
        <w:t>Προγράμματος Μεταπτυχιακού Σπουδών</w:t>
      </w:r>
    </w:p>
    <w:p w:rsidR="00B474D3" w:rsidRPr="00987EB9" w:rsidRDefault="00B474D3" w:rsidP="00B474D3">
      <w:pPr>
        <w:spacing w:after="0"/>
        <w:contextualSpacing/>
        <w:jc w:val="center"/>
        <w:rPr>
          <w:rFonts w:eastAsia="Times New Roman" w:cs="Arial"/>
          <w:sz w:val="28"/>
          <w:szCs w:val="28"/>
        </w:rPr>
      </w:pPr>
    </w:p>
    <w:p w:rsidR="00B474D3" w:rsidRPr="00987EB9" w:rsidRDefault="00B474D3" w:rsidP="00B474D3">
      <w:pPr>
        <w:spacing w:after="0"/>
        <w:contextualSpacing/>
        <w:jc w:val="center"/>
        <w:rPr>
          <w:rFonts w:eastAsia="Times New Roman" w:cs="Arial"/>
          <w:sz w:val="28"/>
          <w:szCs w:val="28"/>
        </w:rPr>
      </w:pPr>
      <w:r w:rsidRPr="00987EB9">
        <w:rPr>
          <w:rFonts w:eastAsia="Times New Roman" w:cs="Arial"/>
          <w:sz w:val="28"/>
          <w:szCs w:val="28"/>
        </w:rPr>
        <w:t>Καθηγήτρια Άλκηστις Κοντογιάννη</w:t>
      </w:r>
    </w:p>
    <w:p w:rsidR="00B474D3" w:rsidRPr="00987EB9" w:rsidRDefault="00B474D3" w:rsidP="00B474D3">
      <w:pPr>
        <w:ind w:firstLine="720"/>
        <w:jc w:val="both"/>
        <w:rPr>
          <w:rFonts w:eastAsia="Arial Unicode MS" w:cs="Arial Unicode MS"/>
          <w:sz w:val="28"/>
          <w:szCs w:val="28"/>
        </w:rPr>
      </w:pPr>
    </w:p>
    <w:p w:rsidR="00B53A40" w:rsidRDefault="00B53A40"/>
    <w:sectPr w:rsidR="00B53A40" w:rsidSect="00B53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Tahoma">
    <w:panose1 w:val="020B0604030504040204"/>
    <w:charset w:val="00"/>
    <w:family w:val="swiss"/>
    <w:pitch w:val="variable"/>
    <w:sig w:usb0="61002A87" w:usb1="80000000" w:usb2="00000008" w:usb3="00000000" w:csb0="0001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4D3"/>
    <w:rsid w:val="00087D0C"/>
    <w:rsid w:val="000C14DA"/>
    <w:rsid w:val="002E4B35"/>
    <w:rsid w:val="003C60B4"/>
    <w:rsid w:val="005271A2"/>
    <w:rsid w:val="005C2A5C"/>
    <w:rsid w:val="00640259"/>
    <w:rsid w:val="008B66BA"/>
    <w:rsid w:val="00987EB9"/>
    <w:rsid w:val="00B474D3"/>
    <w:rsid w:val="00B53A40"/>
    <w:rsid w:val="00C34659"/>
    <w:rsid w:val="00D20263"/>
    <w:rsid w:val="00D41884"/>
    <w:rsid w:val="00EC4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5A1B0A-7327-4B20-9F95-CED29190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4D3"/>
    <w:pPr>
      <w:spacing w:after="200" w:line="276" w:lineRule="auto"/>
    </w:pPr>
    <w:rPr>
      <w:rFonts w:eastAsiaTheme="minorEastAsia"/>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474D3"/>
    <w:pPr>
      <w:suppressAutoHyphens/>
      <w:autoSpaceDN w:val="0"/>
      <w:spacing w:after="200" w:line="276" w:lineRule="auto"/>
      <w:textAlignment w:val="baseline"/>
    </w:pPr>
    <w:rPr>
      <w:rFonts w:ascii="Calibri" w:eastAsia="SimSun" w:hAnsi="Calibri" w:cs="F"/>
      <w:kern w:val="3"/>
      <w:lang w:val="el-GR" w:eastAsia="el-GR"/>
    </w:rPr>
  </w:style>
  <w:style w:type="paragraph" w:styleId="a3">
    <w:name w:val="Balloon Text"/>
    <w:basedOn w:val="a"/>
    <w:link w:val="Char"/>
    <w:uiPriority w:val="99"/>
    <w:semiHidden/>
    <w:unhideWhenUsed/>
    <w:rsid w:val="00B474D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474D3"/>
    <w:rPr>
      <w:rFonts w:ascii="Tahoma" w:eastAsiaTheme="minorEastAsia" w:hAnsi="Tahoma" w:cs="Tahoma"/>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2304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1gel</dc:creator>
  <cp:keywords/>
  <dc:description/>
  <cp:lastModifiedBy>Alkistis</cp:lastModifiedBy>
  <cp:revision>2</cp:revision>
  <dcterms:created xsi:type="dcterms:W3CDTF">2015-01-31T18:07:00Z</dcterms:created>
  <dcterms:modified xsi:type="dcterms:W3CDTF">2015-01-31T18:07:00Z</dcterms:modified>
</cp:coreProperties>
</file>